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72"/>
          <w:shd w:fill="FFFFFF" w:val="clear"/>
        </w:rPr>
      </w:pPr>
      <w:r>
        <w:object w:dxaOrig="8690" w:dyaOrig="3534">
          <v:rect xmlns:o="urn:schemas-microsoft-com:office:office" xmlns:v="urn:schemas-microsoft-com:vml" id="rectole0000000000" style="width:434.500000pt;height:17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72"/>
          <w:shd w:fill="FFFFFF" w:val="clear"/>
        </w:rPr>
        <w:t xml:space="preserve">Zastupitelstvo Ústeckého kraje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rozhodlo o podpo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ře projektu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Roz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í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řen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í vodojemu a vým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ěna vodovodn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ího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řadu v 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ásti obce Merboltice“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formou investi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í dotace ve vý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68"/>
          <w:shd w:fill="FFFFFF" w:val="clear"/>
        </w:rPr>
        <w:t xml:space="preserve">ši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8"/>
          <w:shd w:fill="FFFFFF" w:val="clear"/>
        </w:rPr>
        <w:t xml:space="preserve">Kč 1 640.260,00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